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2B04" w14:textId="23F3A138" w:rsidR="0079426B" w:rsidRPr="00440DD5" w:rsidRDefault="007B7E11" w:rsidP="007B7E11">
      <w:pPr>
        <w:jc w:val="center"/>
        <w:rPr>
          <w:b/>
          <w:bCs/>
          <w:i/>
          <w:iCs/>
          <w:color w:val="0D0D0D" w:themeColor="text1" w:themeTint="F2"/>
          <w:sz w:val="48"/>
          <w:szCs w:val="48"/>
        </w:rPr>
      </w:pPr>
      <w:r w:rsidRPr="00440DD5">
        <w:rPr>
          <w:b/>
          <w:bCs/>
          <w:i/>
          <w:iCs/>
          <w:color w:val="0D0D0D" w:themeColor="text1" w:themeTint="F2"/>
          <w:sz w:val="40"/>
          <w:szCs w:val="40"/>
        </w:rPr>
        <w:t>HUKUKA AYKIRI ELDE EDİLEN DELİLLER</w:t>
      </w:r>
    </w:p>
    <w:p w14:paraId="77FB6FE1" w14:textId="77777777" w:rsidR="007B7E11" w:rsidRPr="00A94BFD" w:rsidRDefault="007B7E11" w:rsidP="007B7E11">
      <w:pPr>
        <w:tabs>
          <w:tab w:val="left" w:pos="0"/>
          <w:tab w:val="left" w:pos="142"/>
        </w:tabs>
      </w:pPr>
      <w:r w:rsidRPr="00A94BFD">
        <w:t>Hukuk sistemimizde delillerin geçerliliği yalnızca onların gerçekliği ile değil, aynı zamanda hukuka uygun şekilde elde edilip edilmediği ile de doğrudan ilgilidir. Toplumda sıkça duyulan bir yanlış kanaat</w:t>
      </w:r>
      <w:r w:rsidRPr="00A94BFD">
        <w:rPr>
          <w:rFonts w:eastAsia="Calibri" w:cs="Calibri"/>
        </w:rPr>
        <w:t xml:space="preserve"> </w:t>
      </w:r>
      <w:r w:rsidRPr="00A94BFD">
        <w:t>şudur:</w:t>
      </w:r>
      <w:r w:rsidRPr="00A94BFD">
        <w:rPr>
          <w:rFonts w:eastAsia="Calibri" w:cs="Calibri"/>
        </w:rPr>
        <w:t xml:space="preserve"> </w:t>
      </w:r>
    </w:p>
    <w:p w14:paraId="3F7A95B0" w14:textId="4E82D4CB" w:rsidR="007B7E11" w:rsidRPr="00A94BFD" w:rsidRDefault="007B7E11" w:rsidP="007B7E11">
      <w:pPr>
        <w:pStyle w:val="GlAlnt"/>
      </w:pPr>
      <w:r>
        <w:t>“</w:t>
      </w:r>
      <w:r w:rsidRPr="00A94BFD">
        <w:t>Gerçek olan her delil mahkemede geçerlidir.</w:t>
      </w:r>
      <w:r>
        <w:t>”</w:t>
      </w:r>
    </w:p>
    <w:p w14:paraId="11C764AE" w14:textId="7C29F5EC" w:rsidR="007B7E11" w:rsidRPr="00A94BFD" w:rsidRDefault="007B7E11" w:rsidP="007B7E11">
      <w:pPr>
        <w:tabs>
          <w:tab w:val="left" w:pos="0"/>
        </w:tabs>
      </w:pPr>
      <w:r w:rsidRPr="00A94BFD">
        <w:t>Oysa bu düşünce doğru değildir. Hukuka aykırı şekilde elde edilen deliller, kural olarak mahkemede geçersiz sayılır. Bu ilke hem ceza yargılaması hem de hukuk yargılaması için geçerlidir.</w:t>
      </w:r>
      <w:r w:rsidRPr="00A94BFD">
        <w:rPr>
          <w:rFonts w:eastAsia="Calibri" w:cs="Calibri"/>
        </w:rPr>
        <w:t xml:space="preserve"> </w:t>
      </w:r>
    </w:p>
    <w:p w14:paraId="296E307E" w14:textId="77777777" w:rsidR="007B7E11" w:rsidRPr="00A94BFD" w:rsidRDefault="007B7E11" w:rsidP="007B7E11">
      <w:pPr>
        <w:tabs>
          <w:tab w:val="left" w:pos="0"/>
        </w:tabs>
      </w:pPr>
      <w:r w:rsidRPr="00A94BFD">
        <w:rPr>
          <w:rFonts w:eastAsia="Calibri" w:cs="Calibri"/>
        </w:rPr>
        <w:t>Ceza Muhakeme</w:t>
      </w:r>
      <w:r w:rsidRPr="00A94BFD">
        <w:t>si Kanunu’nun (CMK) 206. maddesi açıkça belirtir:</w:t>
      </w:r>
      <w:r w:rsidRPr="00A94BFD">
        <w:rPr>
          <w:rFonts w:eastAsia="Calibri" w:cs="Calibri"/>
        </w:rPr>
        <w:t xml:space="preserve"> </w:t>
      </w:r>
    </w:p>
    <w:p w14:paraId="59E0FBA9" w14:textId="789C3942" w:rsidR="007B7E11" w:rsidRPr="00440DD5" w:rsidRDefault="007B7E11" w:rsidP="00440DD5">
      <w:pPr>
        <w:pStyle w:val="ListeParagraf"/>
        <w:numPr>
          <w:ilvl w:val="0"/>
          <w:numId w:val="9"/>
        </w:numPr>
        <w:tabs>
          <w:tab w:val="left" w:pos="0"/>
        </w:tabs>
        <w:ind w:left="0" w:hanging="284"/>
        <w:rPr>
          <w:rFonts w:eastAsia="Calibri" w:cs="Calibri"/>
          <w:i/>
          <w:iCs/>
        </w:rPr>
      </w:pPr>
      <w:r w:rsidRPr="00440DD5">
        <w:rPr>
          <w:i/>
          <w:iCs/>
        </w:rPr>
        <w:t>“Hukuka aykırı şekilde elde edilen deliller reddedilir ve dosyaya dahil edilemez.”</w:t>
      </w:r>
    </w:p>
    <w:p w14:paraId="6AC30536" w14:textId="11849442" w:rsidR="007B7E11" w:rsidRDefault="00000000" w:rsidP="007B7E11">
      <w:pPr>
        <w:tabs>
          <w:tab w:val="left" w:pos="0"/>
        </w:tabs>
      </w:pPr>
      <w:r>
        <w:pict w14:anchorId="26387528">
          <v:rect id="_x0000_i1025" style="width:0;height:1.5pt" o:hralign="center" o:hrstd="t" o:hr="t" fillcolor="#a0a0a0" stroked="f"/>
        </w:pict>
      </w:r>
    </w:p>
    <w:p w14:paraId="03471DFB" w14:textId="0E2634C4" w:rsidR="007B7E11" w:rsidRPr="00440DD5" w:rsidRDefault="007B7E11" w:rsidP="007B7E11">
      <w:pPr>
        <w:tabs>
          <w:tab w:val="left" w:pos="0"/>
        </w:tabs>
        <w:rPr>
          <w:b/>
          <w:bCs/>
          <w:color w:val="0D0D0D" w:themeColor="text1" w:themeTint="F2"/>
          <w:sz w:val="32"/>
          <w:szCs w:val="32"/>
        </w:rPr>
      </w:pPr>
      <w:r w:rsidRPr="00440DD5">
        <w:rPr>
          <w:b/>
          <w:bCs/>
          <w:color w:val="0D0D0D" w:themeColor="text1" w:themeTint="F2"/>
          <w:sz w:val="32"/>
          <w:szCs w:val="32"/>
        </w:rPr>
        <w:t>Hukuka Aykırı Delil Örnekleri</w:t>
      </w:r>
    </w:p>
    <w:p w14:paraId="76C9CFC3" w14:textId="24E906A0" w:rsidR="007B7E11" w:rsidRPr="00A94BFD" w:rsidRDefault="007B7E11" w:rsidP="007B7E11">
      <w:pPr>
        <w:tabs>
          <w:tab w:val="left" w:pos="0"/>
        </w:tabs>
      </w:pPr>
      <w:r w:rsidRPr="00A94BFD">
        <w:t>Bir kişinin telefon konuşmalarını mahkeme kararı olmaksızın kaydetmek,</w:t>
      </w:r>
      <w:r w:rsidRPr="00A94BFD">
        <w:rPr>
          <w:rFonts w:eastAsia="Calibri" w:cs="Calibri"/>
        </w:rPr>
        <w:t xml:space="preserve"> </w:t>
      </w:r>
      <w:r>
        <w:t>e</w:t>
      </w:r>
      <w:r w:rsidRPr="00A94BFD">
        <w:rPr>
          <w:rFonts w:eastAsia="Calibri" w:cs="Calibri"/>
        </w:rPr>
        <w:t>vine gizlice kamer</w:t>
      </w:r>
      <w:r w:rsidRPr="00A94BFD">
        <w:t>a yerleştirmek,</w:t>
      </w:r>
      <w:r w:rsidRPr="00A94BFD">
        <w:rPr>
          <w:rFonts w:eastAsia="Calibri" w:cs="Calibri"/>
        </w:rPr>
        <w:t xml:space="preserve"> </w:t>
      </w:r>
      <w:r>
        <w:t>b</w:t>
      </w:r>
      <w:r w:rsidRPr="00A94BFD">
        <w:t>ilgisayarına casus yazılım yüklemek gibi yöntemler açıkça hukuka aykırıdır.</w:t>
      </w:r>
      <w:r w:rsidRPr="00A94BFD">
        <w:rPr>
          <w:rFonts w:eastAsia="Calibri" w:cs="Calibri"/>
        </w:rPr>
        <w:t xml:space="preserve"> </w:t>
      </w:r>
      <w:r w:rsidRPr="00A94BFD">
        <w:t>Bu yöntemlerle elde edilen kayıtlar mahkemeye sunulsa bile dikkate alınmaz. Dahası, bu kayıtları yapan kişi suç işlemiş de sayılabilir</w:t>
      </w:r>
      <w:r>
        <w:t>.</w:t>
      </w:r>
      <w:r w:rsidRPr="00A94BFD">
        <w:t xml:space="preserve"> (</w:t>
      </w:r>
      <w:r>
        <w:t>K</w:t>
      </w:r>
      <w:r w:rsidRPr="00A94BFD">
        <w:t>işisel verilerin</w:t>
      </w:r>
      <w:r w:rsidRPr="00A94BFD">
        <w:rPr>
          <w:rFonts w:eastAsia="Calibri" w:cs="Calibri"/>
        </w:rPr>
        <w:t xml:space="preserve"> </w:t>
      </w:r>
      <w:r w:rsidRPr="00A94BFD">
        <w:t xml:space="preserve">hukuka aykırı kaydedilmesi, </w:t>
      </w:r>
      <w:r>
        <w:t>h</w:t>
      </w:r>
      <w:r w:rsidRPr="00A94BFD">
        <w:t>aberleşmenin gizliliğini ihlal</w:t>
      </w:r>
      <w:r>
        <w:t xml:space="preserve"> vb.</w:t>
      </w:r>
      <w:r w:rsidRPr="00A94BFD">
        <w:t>)</w:t>
      </w:r>
      <w:r w:rsidRPr="00A94BFD">
        <w:rPr>
          <w:rFonts w:eastAsia="Calibri" w:cs="Calibri"/>
        </w:rPr>
        <w:t xml:space="preserve"> </w:t>
      </w:r>
    </w:p>
    <w:p w14:paraId="6E734D9C" w14:textId="77777777" w:rsidR="007B7E11" w:rsidRDefault="007B7E11" w:rsidP="007B7E11">
      <w:pPr>
        <w:tabs>
          <w:tab w:val="left" w:pos="0"/>
        </w:tabs>
      </w:pPr>
      <w:r w:rsidRPr="00A94BFD">
        <w:t>İstisnalar Var Mı?</w:t>
      </w:r>
      <w:r>
        <w:t xml:space="preserve"> </w:t>
      </w:r>
      <w:r w:rsidRPr="00A94BFD">
        <w:t>Evet, hukukumuzda bazı istisnai durumlar da söz konusudur.</w:t>
      </w:r>
      <w:r w:rsidRPr="00A94BFD">
        <w:rPr>
          <w:rFonts w:eastAsia="Calibri" w:cs="Calibri"/>
        </w:rPr>
        <w:t xml:space="preserve"> </w:t>
      </w:r>
      <w:r w:rsidRPr="00A94BFD">
        <w:t xml:space="preserve">Yargıtay içtihatlarına göre, bazı özel durumlarda hukuka aykırı elde edilmiş bir delil, </w:t>
      </w:r>
      <w:r w:rsidRPr="00A94BFD">
        <w:rPr>
          <w:rFonts w:eastAsia="Calibri" w:cs="Calibri"/>
        </w:rPr>
        <w:t>geçer</w:t>
      </w:r>
      <w:r w:rsidRPr="00A94BFD">
        <w:t>li delil olarak kabul edilebilir. Özellikle:</w:t>
      </w:r>
    </w:p>
    <w:p w14:paraId="2A358087" w14:textId="77777777" w:rsidR="007B7E11" w:rsidRDefault="007B7E11" w:rsidP="007B7E11">
      <w:pPr>
        <w:pStyle w:val="ListeParagraf"/>
        <w:numPr>
          <w:ilvl w:val="0"/>
          <w:numId w:val="3"/>
        </w:numPr>
        <w:tabs>
          <w:tab w:val="left" w:pos="0"/>
        </w:tabs>
      </w:pPr>
      <w:r w:rsidRPr="00A94BFD">
        <w:t>Meşru müdafaa durumu varsa,</w:t>
      </w:r>
    </w:p>
    <w:p w14:paraId="70E49392" w14:textId="77777777" w:rsidR="007B7E11" w:rsidRDefault="007B7E11" w:rsidP="007B7E11">
      <w:pPr>
        <w:pStyle w:val="ListeParagraf"/>
        <w:numPr>
          <w:ilvl w:val="0"/>
          <w:numId w:val="3"/>
        </w:numPr>
        <w:tabs>
          <w:tab w:val="left" w:pos="0"/>
        </w:tabs>
      </w:pPr>
      <w:r>
        <w:t>S</w:t>
      </w:r>
      <w:r w:rsidRPr="00A94BFD">
        <w:t>on çare olarak kayıt yapılmışsa,</w:t>
      </w:r>
    </w:p>
    <w:p w14:paraId="187062E0" w14:textId="1B826A96" w:rsidR="007B7E11" w:rsidRDefault="007B7E11" w:rsidP="007B7E11">
      <w:pPr>
        <w:pStyle w:val="ListeParagraf"/>
        <w:numPr>
          <w:ilvl w:val="0"/>
          <w:numId w:val="3"/>
        </w:numPr>
        <w:tabs>
          <w:tab w:val="left" w:pos="0"/>
        </w:tabs>
      </w:pPr>
      <w:r>
        <w:t>K</w:t>
      </w:r>
      <w:r w:rsidRPr="00A94BFD">
        <w:t>amu düzeninin korunması amacı ağır basıyorsa</w:t>
      </w:r>
      <w:r>
        <w:t>,</w:t>
      </w:r>
    </w:p>
    <w:p w14:paraId="37347004" w14:textId="2BCC5B09" w:rsidR="007B7E11" w:rsidRPr="00A94BFD" w:rsidRDefault="007B7E11" w:rsidP="007B7E11">
      <w:pPr>
        <w:tabs>
          <w:tab w:val="left" w:pos="0"/>
        </w:tabs>
      </w:pPr>
      <w:r>
        <w:t>b</w:t>
      </w:r>
      <w:r w:rsidRPr="00A94BFD">
        <w:t xml:space="preserve">u kayıtlar </w:t>
      </w:r>
      <w:r w:rsidRPr="00A94BFD">
        <w:rPr>
          <w:rFonts w:eastAsia="Calibri" w:cs="Calibri"/>
        </w:rPr>
        <w:t xml:space="preserve">hukuka uygun kabul edilebilir. </w:t>
      </w:r>
    </w:p>
    <w:p w14:paraId="71BA0CD0" w14:textId="1DE958C8" w:rsidR="007B7E11" w:rsidRPr="00A94BFD" w:rsidRDefault="007B7E11" w:rsidP="007B7E11">
      <w:pPr>
        <w:tabs>
          <w:tab w:val="left" w:pos="0"/>
        </w:tabs>
      </w:pPr>
      <w:r w:rsidRPr="00A94BFD">
        <w:t>Yargıtay 5. Ceza Dairesi, 2015 yılında verdiği bir kararda</w:t>
      </w:r>
      <w:r>
        <w:t xml:space="preserve"> ö</w:t>
      </w:r>
      <w:r w:rsidRPr="00A94BFD">
        <w:t>lüm</w:t>
      </w:r>
      <w:r w:rsidRPr="00A94BFD">
        <w:rPr>
          <w:rFonts w:eastAsia="Calibri" w:cs="Calibri"/>
        </w:rPr>
        <w:t xml:space="preserve"> </w:t>
      </w:r>
      <w:r w:rsidRPr="00A94BFD">
        <w:t>tehdidi altında bulunan bir kişinin</w:t>
      </w:r>
      <w:r>
        <w:t xml:space="preserve"> </w:t>
      </w:r>
      <w:r w:rsidRPr="00A94BFD">
        <w:t>başka türlü kendisini savunma imkânı bulunmadığı için yaptığı ses kaydını hukuka uygun saymıştır.</w:t>
      </w:r>
      <w:r w:rsidRPr="00A94BFD">
        <w:rPr>
          <w:rFonts w:eastAsia="Calibri" w:cs="Calibri"/>
        </w:rPr>
        <w:t xml:space="preserve"> </w:t>
      </w:r>
    </w:p>
    <w:p w14:paraId="098A6CB8" w14:textId="77777777" w:rsidR="007B7E11" w:rsidRPr="00A94BFD" w:rsidRDefault="007B7E11" w:rsidP="007B7E11">
      <w:pPr>
        <w:tabs>
          <w:tab w:val="left" w:pos="0"/>
        </w:tabs>
      </w:pPr>
      <w:r w:rsidRPr="00A94BFD">
        <w:t>Mahkeme, burada kişinin can güvenliğini koruma amacıyla hareket ettiğini ve kayıt yapmanın zorunluluk teşkil ettiğini kabul etmiştir.</w:t>
      </w:r>
      <w:r w:rsidRPr="00A94BFD">
        <w:rPr>
          <w:rFonts w:eastAsia="Calibri" w:cs="Calibri"/>
        </w:rPr>
        <w:t xml:space="preserve"> </w:t>
      </w:r>
    </w:p>
    <w:p w14:paraId="1E798AB7" w14:textId="1C587F67" w:rsidR="007B7E11" w:rsidRPr="00440DD5" w:rsidRDefault="00440DD5" w:rsidP="007B7E11">
      <w:pPr>
        <w:tabs>
          <w:tab w:val="left" w:pos="0"/>
        </w:tabs>
        <w:rPr>
          <w:b/>
          <w:bCs/>
          <w:color w:val="0D0D0D" w:themeColor="text1" w:themeTint="F2"/>
          <w:sz w:val="32"/>
          <w:szCs w:val="32"/>
        </w:rPr>
      </w:pPr>
      <w:r w:rsidRPr="00440DD5">
        <w:rPr>
          <w:b/>
          <w:bCs/>
          <w:color w:val="0D0D0D" w:themeColor="text1" w:themeTint="F2"/>
          <w:sz w:val="32"/>
          <w:szCs w:val="32"/>
        </w:rPr>
        <w:t>Kamera Kayıtları Delil Olur Mu?</w:t>
      </w:r>
      <w:r w:rsidRPr="00440DD5">
        <w:rPr>
          <w:rFonts w:eastAsia="Calibri" w:cs="Calibri"/>
          <w:b/>
          <w:bCs/>
          <w:color w:val="0D0D0D" w:themeColor="text1" w:themeTint="F2"/>
          <w:sz w:val="32"/>
          <w:szCs w:val="32"/>
        </w:rPr>
        <w:t xml:space="preserve"> </w:t>
      </w:r>
    </w:p>
    <w:p w14:paraId="37CB46FA" w14:textId="77777777" w:rsidR="007B7E11" w:rsidRPr="00A94BFD" w:rsidRDefault="007B7E11" w:rsidP="007B7E11">
      <w:pPr>
        <w:tabs>
          <w:tab w:val="left" w:pos="0"/>
        </w:tabs>
      </w:pPr>
      <w:r w:rsidRPr="00A94BFD">
        <w:t xml:space="preserve">Günümüzde neredeyse herkesin cebinde bir kamera bulunuyor. Sokakta, iş yerinde ya da evde karşılaşılan olaylarda, vatandaşlar hemen cep telefonlarıyla görüntü veya ses </w:t>
      </w:r>
      <w:r w:rsidRPr="00A94BFD">
        <w:lastRenderedPageBreak/>
        <w:t>kaydı alıyor. Ancak bu kayıtların her zaman</w:t>
      </w:r>
      <w:r w:rsidRPr="00A94BFD">
        <w:rPr>
          <w:rFonts w:eastAsia="Calibri" w:cs="Calibri"/>
        </w:rPr>
        <w:t xml:space="preserve"> </w:t>
      </w:r>
      <w:r w:rsidRPr="00A94BFD">
        <w:t>mahkemede geçerli delil sayıldığını düşünmek hatalı olur.</w:t>
      </w:r>
      <w:r w:rsidRPr="00A94BFD">
        <w:rPr>
          <w:rFonts w:eastAsia="Calibri" w:cs="Calibri"/>
        </w:rPr>
        <w:t xml:space="preserve"> </w:t>
      </w:r>
    </w:p>
    <w:p w14:paraId="0C6EBD04" w14:textId="77777777" w:rsidR="007B7E11" w:rsidRPr="00A94BFD" w:rsidRDefault="007B7E11" w:rsidP="007B7E11">
      <w:pPr>
        <w:tabs>
          <w:tab w:val="left" w:pos="0"/>
        </w:tabs>
      </w:pPr>
      <w:r w:rsidRPr="00A94BFD">
        <w:t>Bu bölümde, kamera kayıtlarının hangi durumlarda geçerli olduğunu ve hangi koşullarda reddedildiğini detaylı şekilde ele alacağız.</w:t>
      </w:r>
      <w:r w:rsidRPr="00A94BFD">
        <w:rPr>
          <w:rFonts w:eastAsia="Calibri" w:cs="Calibri"/>
        </w:rPr>
        <w:t xml:space="preserve"> </w:t>
      </w:r>
    </w:p>
    <w:p w14:paraId="600F7370" w14:textId="51E6F4F2" w:rsidR="007B7E11" w:rsidRPr="00440DD5" w:rsidRDefault="007B7E11" w:rsidP="007B7E11">
      <w:pPr>
        <w:pStyle w:val="ListeParagraf"/>
        <w:numPr>
          <w:ilvl w:val="0"/>
          <w:numId w:val="4"/>
        </w:numPr>
        <w:tabs>
          <w:tab w:val="left" w:pos="0"/>
        </w:tabs>
        <w:spacing w:after="5" w:line="250" w:lineRule="auto"/>
        <w:ind w:left="0" w:hanging="284"/>
        <w:rPr>
          <w:b/>
          <w:bCs/>
          <w:i/>
          <w:iCs/>
          <w:color w:val="0D0D0D" w:themeColor="text1" w:themeTint="F2"/>
          <w:sz w:val="28"/>
          <w:szCs w:val="28"/>
        </w:rPr>
      </w:pPr>
      <w:r w:rsidRPr="00440DD5">
        <w:rPr>
          <w:b/>
          <w:bCs/>
          <w:i/>
          <w:iCs/>
          <w:color w:val="0D0D0D" w:themeColor="text1" w:themeTint="F2"/>
          <w:sz w:val="28"/>
          <w:szCs w:val="28"/>
        </w:rPr>
        <w:t>Her kayıt delil midir?</w:t>
      </w:r>
    </w:p>
    <w:p w14:paraId="75F92136" w14:textId="77777777" w:rsidR="007B7E11" w:rsidRPr="007B7E11" w:rsidRDefault="007B7E11" w:rsidP="007B7E11">
      <w:pPr>
        <w:pStyle w:val="ListeParagraf"/>
        <w:numPr>
          <w:ilvl w:val="0"/>
          <w:numId w:val="5"/>
        </w:numPr>
        <w:tabs>
          <w:tab w:val="left" w:pos="0"/>
        </w:tabs>
        <w:spacing w:after="5" w:line="250" w:lineRule="auto"/>
        <w:rPr>
          <w:rFonts w:eastAsia="Calibri" w:cs="Calibri"/>
        </w:rPr>
      </w:pPr>
      <w:r w:rsidRPr="00A94BFD">
        <w:t xml:space="preserve">Ceza yargılamasında bir görüntünün veya ses kaydının </w:t>
      </w:r>
      <w:r w:rsidRPr="007B7E11">
        <w:rPr>
          <w:rFonts w:eastAsia="Calibri" w:cs="Calibri"/>
        </w:rPr>
        <w:t xml:space="preserve">delil olarak kabul edilebilmesi için: </w:t>
      </w:r>
    </w:p>
    <w:p w14:paraId="3C29DCCC" w14:textId="77777777" w:rsidR="007B7E11" w:rsidRDefault="007B7E11" w:rsidP="007B7E11">
      <w:pPr>
        <w:pStyle w:val="ListeParagraf"/>
        <w:numPr>
          <w:ilvl w:val="0"/>
          <w:numId w:val="5"/>
        </w:numPr>
        <w:tabs>
          <w:tab w:val="left" w:pos="0"/>
        </w:tabs>
        <w:spacing w:after="5" w:line="250" w:lineRule="auto"/>
      </w:pPr>
      <w:r>
        <w:t>H</w:t>
      </w:r>
      <w:r w:rsidRPr="00A94BFD">
        <w:t>ukuka uygun şekilde elde edilmiş olması gerekir.</w:t>
      </w:r>
      <w:r>
        <w:t xml:space="preserve"> </w:t>
      </w:r>
      <w:r w:rsidRPr="00A94BFD">
        <w:t>Özel hayatın gizliliğini ihlal etmemesi gerekir.</w:t>
      </w:r>
      <w:r>
        <w:t xml:space="preserve"> </w:t>
      </w:r>
    </w:p>
    <w:p w14:paraId="34E64E28" w14:textId="77777777" w:rsidR="007B7E11" w:rsidRDefault="007B7E11" w:rsidP="007B7E11">
      <w:pPr>
        <w:pStyle w:val="ListeParagraf"/>
        <w:numPr>
          <w:ilvl w:val="0"/>
          <w:numId w:val="5"/>
        </w:numPr>
        <w:tabs>
          <w:tab w:val="left" w:pos="0"/>
        </w:tabs>
        <w:spacing w:after="5" w:line="250" w:lineRule="auto"/>
      </w:pPr>
      <w:r w:rsidRPr="00A94BFD">
        <w:t>Anayasa ve Ceza Muhakemesi Kanunu (CMK) hükümlerine aykırı olmamalıdır.</w:t>
      </w:r>
    </w:p>
    <w:p w14:paraId="42692189" w14:textId="77777777" w:rsidR="007B7E11" w:rsidRDefault="007B7E11" w:rsidP="007B7E11">
      <w:pPr>
        <w:tabs>
          <w:tab w:val="left" w:pos="0"/>
        </w:tabs>
        <w:spacing w:after="5" w:line="250" w:lineRule="auto"/>
      </w:pPr>
    </w:p>
    <w:p w14:paraId="28777A45" w14:textId="03382079" w:rsidR="007B7E11" w:rsidRDefault="007B7E11" w:rsidP="007B7E11">
      <w:pPr>
        <w:tabs>
          <w:tab w:val="left" w:pos="0"/>
        </w:tabs>
        <w:spacing w:after="5" w:line="250" w:lineRule="auto"/>
        <w:rPr>
          <w:rFonts w:eastAsia="Calibri" w:cs="Calibri"/>
        </w:rPr>
      </w:pPr>
      <w:r w:rsidRPr="00A94BFD">
        <w:t>Hukuka aykırı deliller ise mahkeme tarafından reddedilir ve hükme esas alınamaz.</w:t>
      </w:r>
      <w:r w:rsidRPr="00A94BFD">
        <w:rPr>
          <w:rFonts w:eastAsia="Calibri" w:cs="Calibri"/>
        </w:rPr>
        <w:t xml:space="preserve"> </w:t>
      </w:r>
    </w:p>
    <w:p w14:paraId="5EF65CA1" w14:textId="1637C97E" w:rsidR="007B7E11" w:rsidRPr="007B7E11" w:rsidRDefault="00000000" w:rsidP="007B7E11">
      <w:pPr>
        <w:tabs>
          <w:tab w:val="left" w:pos="0"/>
        </w:tabs>
        <w:spacing w:after="5" w:line="250" w:lineRule="auto"/>
        <w:rPr>
          <w:rFonts w:eastAsia="Calibri" w:cs="Calibri"/>
        </w:rPr>
      </w:pPr>
      <w:r>
        <w:pict w14:anchorId="4BD3C4F5">
          <v:rect id="_x0000_i1026" style="width:0;height:1.5pt" o:hralign="center" o:hrstd="t" o:hr="t" fillcolor="#a0a0a0" stroked="f"/>
        </w:pict>
      </w:r>
    </w:p>
    <w:p w14:paraId="4BFF5578" w14:textId="6E06E440" w:rsidR="007B7E11" w:rsidRPr="00440DD5" w:rsidRDefault="007B7E11" w:rsidP="007B7E11">
      <w:pPr>
        <w:pStyle w:val="ListeParagraf"/>
        <w:numPr>
          <w:ilvl w:val="0"/>
          <w:numId w:val="4"/>
        </w:numPr>
        <w:tabs>
          <w:tab w:val="left" w:pos="0"/>
        </w:tabs>
        <w:spacing w:after="5" w:line="250" w:lineRule="auto"/>
        <w:ind w:left="0" w:hanging="284"/>
        <w:rPr>
          <w:b/>
          <w:bCs/>
          <w:i/>
          <w:iCs/>
          <w:color w:val="0D0D0D" w:themeColor="text1" w:themeTint="F2"/>
          <w:sz w:val="28"/>
          <w:szCs w:val="28"/>
        </w:rPr>
      </w:pPr>
      <w:r w:rsidRPr="00440DD5">
        <w:rPr>
          <w:b/>
          <w:bCs/>
          <w:i/>
          <w:iCs/>
          <w:color w:val="0D0D0D" w:themeColor="text1" w:themeTint="F2"/>
          <w:sz w:val="28"/>
          <w:szCs w:val="28"/>
        </w:rPr>
        <w:t>Hangi kayıtlar hukuka aykırıdır?</w:t>
      </w:r>
      <w:r w:rsidRPr="00440DD5">
        <w:rPr>
          <w:rFonts w:eastAsia="Calibri" w:cs="Calibri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</w:p>
    <w:p w14:paraId="7B009342" w14:textId="3931F135" w:rsidR="007B7E11" w:rsidRPr="00A94BFD" w:rsidRDefault="007B7E11" w:rsidP="007B7E11">
      <w:pPr>
        <w:pStyle w:val="ListeParagraf"/>
        <w:numPr>
          <w:ilvl w:val="0"/>
          <w:numId w:val="6"/>
        </w:numPr>
        <w:tabs>
          <w:tab w:val="left" w:pos="0"/>
        </w:tabs>
      </w:pPr>
      <w:r w:rsidRPr="00A94BFD">
        <w:t>Bir kişinin ev içindeki özel konuşmalarını gizlice kayda almak,</w:t>
      </w:r>
      <w:r w:rsidRPr="007B7E11">
        <w:rPr>
          <w:rFonts w:eastAsia="Calibri" w:cs="Calibri"/>
        </w:rPr>
        <w:t xml:space="preserve"> </w:t>
      </w:r>
    </w:p>
    <w:p w14:paraId="601E4722" w14:textId="77777777" w:rsidR="007B7E11" w:rsidRPr="00A94BFD" w:rsidRDefault="007B7E11" w:rsidP="007B7E11">
      <w:pPr>
        <w:pStyle w:val="ListeParagraf"/>
        <w:numPr>
          <w:ilvl w:val="0"/>
          <w:numId w:val="6"/>
        </w:numPr>
        <w:tabs>
          <w:tab w:val="left" w:pos="0"/>
        </w:tabs>
      </w:pPr>
      <w:r w:rsidRPr="00A94BFD">
        <w:t>Gizli kamera veya ses cihazı yerleştirerek kayıt yapmak,</w:t>
      </w:r>
      <w:r w:rsidRPr="007B7E11">
        <w:rPr>
          <w:rFonts w:eastAsia="Calibri" w:cs="Calibri"/>
        </w:rPr>
        <w:t xml:space="preserve"> </w:t>
      </w:r>
    </w:p>
    <w:p w14:paraId="049BBC72" w14:textId="77777777" w:rsidR="007B7E11" w:rsidRPr="007B7E11" w:rsidRDefault="007B7E11" w:rsidP="007B7E11">
      <w:pPr>
        <w:pStyle w:val="ListeParagraf"/>
        <w:numPr>
          <w:ilvl w:val="0"/>
          <w:numId w:val="6"/>
        </w:numPr>
        <w:tabs>
          <w:tab w:val="left" w:pos="0"/>
        </w:tabs>
      </w:pPr>
      <w:r w:rsidRPr="00A94BFD">
        <w:t>Karşı tarafın açık rızası olmadan özel ortamda yapılan kayıtlar (çoğu zaman),</w:t>
      </w:r>
      <w:r w:rsidRPr="007B7E11">
        <w:rPr>
          <w:rFonts w:eastAsia="Calibri" w:cs="Calibri"/>
        </w:rPr>
        <w:t xml:space="preserve"> </w:t>
      </w:r>
    </w:p>
    <w:p w14:paraId="23A1F58C" w14:textId="4FC6FD7F" w:rsidR="007B7E11" w:rsidRPr="00A94BFD" w:rsidRDefault="007B7E11" w:rsidP="007B7E11">
      <w:pPr>
        <w:pStyle w:val="ListeParagraf"/>
        <w:numPr>
          <w:ilvl w:val="0"/>
          <w:numId w:val="6"/>
        </w:numPr>
        <w:tabs>
          <w:tab w:val="left" w:pos="0"/>
        </w:tabs>
      </w:pPr>
      <w:r w:rsidRPr="00A94BFD">
        <w:t>Mahkeme kararı olmadan telefon dinlemesi yapmak.</w:t>
      </w:r>
    </w:p>
    <w:p w14:paraId="3215A3C2" w14:textId="2C4C637B" w:rsidR="007B7E11" w:rsidRPr="007B7E11" w:rsidRDefault="007B7E11" w:rsidP="007B7E11">
      <w:pPr>
        <w:tabs>
          <w:tab w:val="left" w:pos="0"/>
        </w:tabs>
        <w:rPr>
          <w:rFonts w:eastAsia="Calibri" w:cs="Calibri"/>
        </w:rPr>
      </w:pPr>
      <w:r w:rsidRPr="00A94BFD">
        <w:t>Bu tarz kayıtlar delil olarak kullanılamaz.</w:t>
      </w:r>
      <w:r>
        <w:t xml:space="preserve"> </w:t>
      </w:r>
      <w:r w:rsidRPr="00A94BFD">
        <w:t xml:space="preserve">Ayrıca kişisel verilerin ihlali, özel hayatın gizliliğini ihlal gibi suçlara da </w:t>
      </w:r>
      <w:r w:rsidRPr="007B7E11">
        <w:rPr>
          <w:rFonts w:eastAsia="Calibri" w:cs="Calibri"/>
        </w:rPr>
        <w:t xml:space="preserve">sebebiyet verebilir. </w:t>
      </w:r>
    </w:p>
    <w:p w14:paraId="47963871" w14:textId="1CD33EEA" w:rsidR="007B7E11" w:rsidRPr="007B7E11" w:rsidRDefault="00000000" w:rsidP="007B7E11">
      <w:pPr>
        <w:pStyle w:val="ListeParagraf"/>
        <w:tabs>
          <w:tab w:val="left" w:pos="0"/>
        </w:tabs>
        <w:ind w:left="0"/>
        <w:rPr>
          <w:rFonts w:eastAsia="Calibri" w:cs="Calibri"/>
        </w:rPr>
      </w:pPr>
      <w:r>
        <w:pict w14:anchorId="4CCAD827">
          <v:rect id="_x0000_i1027" style="width:0;height:1.5pt" o:hralign="center" o:hrstd="t" o:hr="t" fillcolor="#a0a0a0" stroked="f"/>
        </w:pict>
      </w:r>
    </w:p>
    <w:p w14:paraId="082241AC" w14:textId="1B1BA599" w:rsidR="007B7E11" w:rsidRPr="00440DD5" w:rsidRDefault="007B7E11" w:rsidP="007B7E11">
      <w:pPr>
        <w:pStyle w:val="ListeParagraf"/>
        <w:numPr>
          <w:ilvl w:val="0"/>
          <w:numId w:val="4"/>
        </w:numPr>
        <w:tabs>
          <w:tab w:val="left" w:pos="0"/>
        </w:tabs>
        <w:spacing w:after="0" w:line="259" w:lineRule="auto"/>
        <w:ind w:left="0" w:hanging="284"/>
        <w:rPr>
          <w:b/>
          <w:bCs/>
          <w:i/>
          <w:iCs/>
          <w:color w:val="0D0D0D" w:themeColor="text1" w:themeTint="F2"/>
          <w:sz w:val="28"/>
          <w:szCs w:val="28"/>
        </w:rPr>
      </w:pPr>
      <w:r w:rsidRPr="00440DD5">
        <w:rPr>
          <w:rFonts w:eastAsia="Calibri" w:cs="Calibri"/>
          <w:b/>
          <w:bCs/>
          <w:i/>
          <w:iCs/>
          <w:color w:val="0D0D0D" w:themeColor="text1" w:themeTint="F2"/>
          <w:sz w:val="28"/>
          <w:szCs w:val="28"/>
        </w:rPr>
        <w:t xml:space="preserve">Ne zaman hukuka uygun </w:t>
      </w:r>
      <w:r w:rsidRPr="00440DD5">
        <w:rPr>
          <w:b/>
          <w:bCs/>
          <w:i/>
          <w:iCs/>
          <w:color w:val="0D0D0D" w:themeColor="text1" w:themeTint="F2"/>
          <w:sz w:val="28"/>
          <w:szCs w:val="28"/>
        </w:rPr>
        <w:t>sayılır?</w:t>
      </w:r>
      <w:r w:rsidRPr="00440DD5">
        <w:rPr>
          <w:rFonts w:eastAsia="Calibri" w:cs="Calibri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</w:p>
    <w:p w14:paraId="2757FCF0" w14:textId="77777777" w:rsidR="007B7E11" w:rsidRDefault="007B7E11" w:rsidP="007B7E11">
      <w:pPr>
        <w:pStyle w:val="ListeParagraf"/>
        <w:numPr>
          <w:ilvl w:val="0"/>
          <w:numId w:val="7"/>
        </w:numPr>
        <w:tabs>
          <w:tab w:val="left" w:pos="0"/>
        </w:tabs>
      </w:pPr>
      <w:r w:rsidRPr="00A94BFD">
        <w:t>Bazı olağanüstü durumlarda, son çare olarak yapılan kayıtlar delil olarak kabul edilebilir.</w:t>
      </w:r>
      <w:r>
        <w:t xml:space="preserve"> </w:t>
      </w:r>
      <w:r w:rsidRPr="00A94BFD">
        <w:t>Kişi ciddi bir tehdit, şantaj veya fiziksel saldırı altındaysa,</w:t>
      </w:r>
      <w:r>
        <w:t xml:space="preserve"> </w:t>
      </w:r>
    </w:p>
    <w:p w14:paraId="07AC704B" w14:textId="7D5CAA76" w:rsidR="007B7E11" w:rsidRDefault="007B7E11" w:rsidP="007B7E11">
      <w:pPr>
        <w:pStyle w:val="ListeParagraf"/>
        <w:numPr>
          <w:ilvl w:val="0"/>
          <w:numId w:val="7"/>
        </w:numPr>
        <w:tabs>
          <w:tab w:val="left" w:pos="0"/>
        </w:tabs>
      </w:pPr>
      <w:r>
        <w:t>B</w:t>
      </w:r>
      <w:r w:rsidRPr="00A94BFD">
        <w:t>aşka bir şekilde kendisini koruma veya suçu ispatlama imkânı yoksa</w:t>
      </w:r>
      <w:r>
        <w:t>,</w:t>
      </w:r>
    </w:p>
    <w:p w14:paraId="66EB52B3" w14:textId="77777777" w:rsidR="007B7E11" w:rsidRDefault="007B7E11" w:rsidP="007B7E11">
      <w:pPr>
        <w:pStyle w:val="ListeParagraf"/>
        <w:numPr>
          <w:ilvl w:val="0"/>
          <w:numId w:val="7"/>
        </w:numPr>
        <w:tabs>
          <w:tab w:val="left" w:pos="0"/>
        </w:tabs>
      </w:pPr>
      <w:r>
        <w:t>Y</w:t>
      </w:r>
      <w:r w:rsidRPr="00A94BFD">
        <w:t>apılan kayıt sad</w:t>
      </w:r>
      <w:r w:rsidRPr="007B7E11">
        <w:rPr>
          <w:rFonts w:eastAsia="Calibri" w:cs="Calibri"/>
        </w:rPr>
        <w:t xml:space="preserve">ece </w:t>
      </w:r>
      <w:r w:rsidRPr="00A94BFD">
        <w:t>suçun belgelenmesi amacı taşıyorsa,</w:t>
      </w:r>
    </w:p>
    <w:p w14:paraId="21FFA3D7" w14:textId="673D360F" w:rsidR="007B7E11" w:rsidRDefault="007B7E11" w:rsidP="007B7E11">
      <w:pPr>
        <w:tabs>
          <w:tab w:val="left" w:pos="0"/>
        </w:tabs>
        <w:rPr>
          <w:rFonts w:eastAsia="Calibri" w:cs="Calibri"/>
        </w:rPr>
      </w:pPr>
      <w:r w:rsidRPr="00A94BFD">
        <w:t>Yargıtay’ın içtihatları bu kayıtların hukuka uygun sayılabileceğini belirtmektedir.</w:t>
      </w:r>
      <w:r w:rsidRPr="00A94BFD">
        <w:rPr>
          <w:rFonts w:eastAsia="Calibri" w:cs="Calibri"/>
        </w:rPr>
        <w:t xml:space="preserve"> </w:t>
      </w:r>
    </w:p>
    <w:p w14:paraId="3D0B406F" w14:textId="216380D4" w:rsidR="007B7E11" w:rsidRDefault="00000000" w:rsidP="007B7E11">
      <w:pPr>
        <w:tabs>
          <w:tab w:val="left" w:pos="0"/>
        </w:tabs>
      </w:pPr>
      <w:r>
        <w:pict w14:anchorId="347C58B2">
          <v:rect id="_x0000_i1028" style="width:0;height:1.5pt" o:hralign="center" o:hrstd="t" o:hr="t" fillcolor="#a0a0a0" stroked="f"/>
        </w:pict>
      </w:r>
    </w:p>
    <w:p w14:paraId="20F01104" w14:textId="244FBC83" w:rsidR="007B7E11" w:rsidRPr="007B7E11" w:rsidRDefault="007B7E11" w:rsidP="007B7E11">
      <w:pPr>
        <w:tabs>
          <w:tab w:val="left" w:pos="0"/>
        </w:tabs>
        <w:rPr>
          <w:b/>
          <w:bCs/>
          <w:i/>
          <w:iCs/>
          <w:color w:val="BF4E14" w:themeColor="accent2" w:themeShade="BF"/>
          <w:sz w:val="28"/>
          <w:szCs w:val="28"/>
        </w:rPr>
      </w:pPr>
      <w:r w:rsidRPr="007B7E11">
        <w:rPr>
          <w:b/>
          <w:bCs/>
          <w:i/>
          <w:iCs/>
          <w:color w:val="BF4E14" w:themeColor="accent2" w:themeShade="BF"/>
          <w:sz w:val="28"/>
          <w:szCs w:val="28"/>
        </w:rPr>
        <w:t>Örnek İçtihat:</w:t>
      </w:r>
      <w:r w:rsidRPr="007B7E11">
        <w:rPr>
          <w:rFonts w:eastAsia="Calibri" w:cs="Calibri"/>
          <w:b/>
          <w:bCs/>
          <w:i/>
          <w:iCs/>
          <w:color w:val="BF4E14" w:themeColor="accent2" w:themeShade="BF"/>
          <w:sz w:val="28"/>
          <w:szCs w:val="28"/>
        </w:rPr>
        <w:t xml:space="preserve"> </w:t>
      </w:r>
    </w:p>
    <w:p w14:paraId="34C97A4E" w14:textId="77777777" w:rsidR="007B7E11" w:rsidRPr="00A94BFD" w:rsidRDefault="007B7E11" w:rsidP="007B7E11">
      <w:pPr>
        <w:tabs>
          <w:tab w:val="left" w:pos="0"/>
        </w:tabs>
      </w:pPr>
      <w:r w:rsidRPr="00A94BFD">
        <w:t>Yargıtay 5. Ceza Dairesi, 2015 Kararı:</w:t>
      </w:r>
      <w:r w:rsidRPr="00A94BFD">
        <w:rPr>
          <w:rFonts w:eastAsia="Calibri" w:cs="Calibri"/>
        </w:rPr>
        <w:t xml:space="preserve"> </w:t>
      </w:r>
    </w:p>
    <w:p w14:paraId="3065D07D" w14:textId="67CE4B95" w:rsidR="007B7E11" w:rsidRPr="00A94BFD" w:rsidRDefault="007B7E11" w:rsidP="007B7E11">
      <w:pPr>
        <w:pStyle w:val="GlAlnt"/>
        <w:spacing w:line="240" w:lineRule="auto"/>
        <w:ind w:left="0" w:right="0"/>
      </w:pPr>
      <w:r>
        <w:t>“</w:t>
      </w:r>
      <w:r w:rsidRPr="00A94BFD">
        <w:t xml:space="preserve">Tehdit altındaki kişinin yaptığı ses kaydı, başka bir savunma imkânı </w:t>
      </w:r>
    </w:p>
    <w:p w14:paraId="4CFC1032" w14:textId="6BC8701A" w:rsidR="007B7E11" w:rsidRPr="00A94BFD" w:rsidRDefault="007B7E11" w:rsidP="007B7E11">
      <w:pPr>
        <w:pStyle w:val="GlAlnt"/>
        <w:spacing w:line="240" w:lineRule="auto"/>
        <w:ind w:left="0" w:right="0"/>
      </w:pPr>
      <w:r w:rsidRPr="00A94BFD">
        <w:t>bulunmadığından hukuka uygundur.</w:t>
      </w:r>
      <w:r>
        <w:t>”</w:t>
      </w:r>
    </w:p>
    <w:p w14:paraId="7D061E42" w14:textId="77777777" w:rsidR="007B7E11" w:rsidRPr="00A94BFD" w:rsidRDefault="007B7E11" w:rsidP="007B7E11">
      <w:pPr>
        <w:tabs>
          <w:tab w:val="left" w:pos="0"/>
        </w:tabs>
      </w:pPr>
      <w:r w:rsidRPr="00A94BFD">
        <w:t>Burada mahkeme, kayıt yapmanın meşru müdafaa kapsamına girdiğini ve kişinin hak arama özgürlüğünü kullandığını vurgulamıştır.</w:t>
      </w:r>
      <w:r w:rsidRPr="00A94BFD">
        <w:rPr>
          <w:rFonts w:eastAsia="Calibri" w:cs="Calibri"/>
        </w:rPr>
        <w:t xml:space="preserve"> </w:t>
      </w:r>
    </w:p>
    <w:p w14:paraId="6EC3D0D8" w14:textId="33701B6E" w:rsidR="007B7E11" w:rsidRPr="00A94BFD" w:rsidRDefault="007B7E11" w:rsidP="007B7E11">
      <w:pPr>
        <w:tabs>
          <w:tab w:val="left" w:pos="0"/>
        </w:tabs>
      </w:pPr>
      <w:r w:rsidRPr="00A94BFD">
        <w:lastRenderedPageBreak/>
        <w:t>Kısaca özetleyecek olursak,</w:t>
      </w:r>
      <w:r w:rsidR="00794BD0">
        <w:t xml:space="preserve"> </w:t>
      </w:r>
      <w:r w:rsidRPr="00A94BFD">
        <w:t xml:space="preserve">kamera kayıtları, doğru yöntemle elde edilirse </w:t>
      </w:r>
      <w:r w:rsidRPr="00A94BFD">
        <w:rPr>
          <w:rFonts w:eastAsia="Calibri" w:cs="Calibri"/>
        </w:rPr>
        <w:t xml:space="preserve">mahkemede çok güçlü bir delil olabilir. </w:t>
      </w:r>
    </w:p>
    <w:p w14:paraId="692FECDF" w14:textId="77777777" w:rsidR="007B7E11" w:rsidRPr="00A94BFD" w:rsidRDefault="007B7E11" w:rsidP="007B7E11">
      <w:pPr>
        <w:tabs>
          <w:tab w:val="left" w:pos="0"/>
        </w:tabs>
      </w:pPr>
      <w:r w:rsidRPr="00A94BFD">
        <w:t>Ancak hukuka aykırı yollarla alınmış kayıtlar reddedilir ve suç teşkil edebilir.</w:t>
      </w:r>
      <w:r w:rsidRPr="00A94BFD">
        <w:rPr>
          <w:rFonts w:eastAsia="Calibri" w:cs="Calibri"/>
        </w:rPr>
        <w:t xml:space="preserve"> </w:t>
      </w:r>
      <w:r w:rsidRPr="00A94BFD">
        <w:t>Kayıt yaparken kişinin hem kendi hakkını koruması hem de başkalarının hak ve özgürlüklerine saygı göstermesi için bu hususlara dikkat etmek gerekir.</w:t>
      </w:r>
      <w:r w:rsidRPr="00A94BFD">
        <w:rPr>
          <w:rFonts w:eastAsia="Calibri" w:cs="Calibri"/>
        </w:rPr>
        <w:t xml:space="preserve"> </w:t>
      </w:r>
    </w:p>
    <w:p w14:paraId="6E9F1155" w14:textId="77777777" w:rsidR="007B7E11" w:rsidRPr="00A94BFD" w:rsidRDefault="007B7E11" w:rsidP="007B7E11">
      <w:pPr>
        <w:tabs>
          <w:tab w:val="left" w:pos="0"/>
        </w:tabs>
        <w:spacing w:after="0" w:line="259" w:lineRule="auto"/>
      </w:pPr>
      <w:r w:rsidRPr="00A94BFD">
        <w:rPr>
          <w:rFonts w:eastAsia="Calibri" w:cs="Calibri"/>
        </w:rPr>
        <w:t xml:space="preserve"> </w:t>
      </w:r>
    </w:p>
    <w:p w14:paraId="6768E06A" w14:textId="77777777" w:rsidR="007B7E11" w:rsidRPr="00794BD0" w:rsidRDefault="007B7E11" w:rsidP="00F563A5">
      <w:pPr>
        <w:tabs>
          <w:tab w:val="left" w:pos="0"/>
        </w:tabs>
        <w:spacing w:after="0" w:line="360" w:lineRule="auto"/>
        <w:rPr>
          <w:b/>
          <w:bCs/>
          <w:i/>
          <w:iCs/>
          <w:sz w:val="32"/>
          <w:szCs w:val="32"/>
        </w:rPr>
      </w:pPr>
      <w:r w:rsidRPr="00794BD0">
        <w:rPr>
          <w:rFonts w:eastAsia="Calibri" w:cs="Calibri"/>
          <w:b/>
          <w:bCs/>
          <w:i/>
          <w:iCs/>
          <w:sz w:val="32"/>
          <w:szCs w:val="32"/>
        </w:rPr>
        <w:t xml:space="preserve">KAYNAKÇA </w:t>
      </w:r>
    </w:p>
    <w:p w14:paraId="3C4F3336" w14:textId="77777777" w:rsidR="003B1DE5" w:rsidRDefault="003B1DE5" w:rsidP="00794BD0">
      <w:pPr>
        <w:numPr>
          <w:ilvl w:val="0"/>
          <w:numId w:val="2"/>
        </w:numPr>
        <w:tabs>
          <w:tab w:val="left" w:pos="0"/>
        </w:tabs>
        <w:spacing w:after="5" w:line="250" w:lineRule="auto"/>
        <w:ind w:left="0" w:hanging="284"/>
      </w:pPr>
      <w:r w:rsidRPr="003B1DE5">
        <w:t xml:space="preserve">Türkiye Cumhuriyeti Anayasası, (7 Kasım 1982 tarih ve 2709 sayılı). </w:t>
      </w:r>
      <w:r w:rsidRPr="003B1DE5">
        <w:rPr>
          <w:i/>
          <w:iCs/>
        </w:rPr>
        <w:t>Resmî Gazete</w:t>
      </w:r>
      <w:r w:rsidRPr="003B1DE5">
        <w:t>, 7 Kasım 1982, Sayı: 17863.</w:t>
      </w:r>
    </w:p>
    <w:p w14:paraId="393AE464" w14:textId="77777777" w:rsidR="003B1DE5" w:rsidRDefault="003B1DE5" w:rsidP="00794BD0">
      <w:pPr>
        <w:pStyle w:val="ListeParagraf"/>
        <w:numPr>
          <w:ilvl w:val="0"/>
          <w:numId w:val="2"/>
        </w:numPr>
        <w:tabs>
          <w:tab w:val="left" w:pos="0"/>
        </w:tabs>
        <w:ind w:left="0" w:hanging="284"/>
      </w:pPr>
      <w:r w:rsidRPr="003B1DE5">
        <w:t xml:space="preserve">Ceza Muhakemesi Kanunu (CMK) No: 5271. (2004). </w:t>
      </w:r>
      <w:r w:rsidRPr="003B1DE5">
        <w:rPr>
          <w:i/>
          <w:iCs/>
        </w:rPr>
        <w:t>Resmî Gazete</w:t>
      </w:r>
      <w:r w:rsidRPr="003B1DE5">
        <w:t>, 17 Aralık 2004, Sayı: 25673.</w:t>
      </w:r>
    </w:p>
    <w:p w14:paraId="1623875C" w14:textId="77777777" w:rsidR="003B1DE5" w:rsidRDefault="003B1DE5" w:rsidP="00794BD0">
      <w:pPr>
        <w:pStyle w:val="ListeParagraf"/>
        <w:numPr>
          <w:ilvl w:val="0"/>
          <w:numId w:val="2"/>
        </w:numPr>
        <w:tabs>
          <w:tab w:val="left" w:pos="0"/>
        </w:tabs>
        <w:ind w:left="0" w:hanging="284"/>
      </w:pPr>
      <w:r w:rsidRPr="003B1DE5">
        <w:t xml:space="preserve">Kişisel Verilerin Korunması Kanunu (KVKK) No: 6698. (2016). </w:t>
      </w:r>
      <w:r w:rsidRPr="003B1DE5">
        <w:rPr>
          <w:i/>
          <w:iCs/>
        </w:rPr>
        <w:t>Resmî Gazete</w:t>
      </w:r>
      <w:r w:rsidRPr="003B1DE5">
        <w:t>, 7 Nisan 2016, Sayı: 29677.</w:t>
      </w:r>
    </w:p>
    <w:p w14:paraId="3069749C" w14:textId="2A9E4E03" w:rsidR="00794BD0" w:rsidRDefault="00794BD0" w:rsidP="00794BD0">
      <w:pPr>
        <w:pStyle w:val="ListeParagraf"/>
        <w:numPr>
          <w:ilvl w:val="0"/>
          <w:numId w:val="2"/>
        </w:numPr>
        <w:tabs>
          <w:tab w:val="left" w:pos="0"/>
        </w:tabs>
        <w:ind w:left="0" w:hanging="284"/>
      </w:pPr>
      <w:r w:rsidRPr="00794BD0">
        <w:t xml:space="preserve">Özbek, V. Ö., Başer, H., Tepe, M., &amp; </w:t>
      </w:r>
      <w:proofErr w:type="spellStart"/>
      <w:r w:rsidRPr="00794BD0">
        <w:t>Kanbur</w:t>
      </w:r>
      <w:proofErr w:type="spellEnd"/>
      <w:r w:rsidRPr="00794BD0">
        <w:t xml:space="preserve">, M. (2022). </w:t>
      </w:r>
      <w:r w:rsidRPr="00794BD0">
        <w:rPr>
          <w:i/>
          <w:iCs/>
        </w:rPr>
        <w:t>Ceza muhakemesi hukuku.</w:t>
      </w:r>
      <w:r w:rsidRPr="00794BD0">
        <w:t xml:space="preserve"> Seçkin Yayıncılık.</w:t>
      </w:r>
    </w:p>
    <w:p w14:paraId="073BC7AC" w14:textId="71454147" w:rsidR="0079426B" w:rsidRPr="00794BD0" w:rsidRDefault="00794BD0" w:rsidP="00794BD0">
      <w:pPr>
        <w:pStyle w:val="ListeParagraf"/>
        <w:numPr>
          <w:ilvl w:val="0"/>
          <w:numId w:val="2"/>
        </w:numPr>
        <w:ind w:left="0" w:hanging="284"/>
        <w:rPr>
          <w:color w:val="0D0D0D" w:themeColor="text1" w:themeTint="F2"/>
        </w:rPr>
      </w:pPr>
      <w:proofErr w:type="spellStart"/>
      <w:r w:rsidRPr="00794BD0">
        <w:t>Yenisey</w:t>
      </w:r>
      <w:proofErr w:type="spellEnd"/>
      <w:r w:rsidRPr="00794BD0">
        <w:t xml:space="preserve">, F. (2023). </w:t>
      </w:r>
      <w:r w:rsidRPr="00794BD0">
        <w:rPr>
          <w:i/>
          <w:iCs/>
        </w:rPr>
        <w:t>Ceza muhakemesi hukuku ders notları.</w:t>
      </w:r>
      <w:r w:rsidRPr="00794BD0">
        <w:t xml:space="preserve"> </w:t>
      </w:r>
      <w:r>
        <w:t>Seçkin</w:t>
      </w:r>
      <w:r w:rsidRPr="00794BD0">
        <w:t xml:space="preserve"> Yayın</w:t>
      </w:r>
      <w:r>
        <w:t>cılık</w:t>
      </w:r>
      <w:r w:rsidRPr="00794BD0">
        <w:t>.</w:t>
      </w:r>
    </w:p>
    <w:sectPr w:rsidR="0079426B" w:rsidRPr="00794BD0" w:rsidSect="0079426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6614"/>
    <w:multiLevelType w:val="hybridMultilevel"/>
    <w:tmpl w:val="A6F0CAB4"/>
    <w:lvl w:ilvl="0" w:tplc="DEACF000">
      <w:start w:val="1"/>
      <w:numFmt w:val="decimal"/>
      <w:lvlText w:val="%1."/>
      <w:lvlJc w:val="left"/>
      <w:pPr>
        <w:ind w:left="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64AF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BCD9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A069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6B9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200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FA6F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DA76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5CBE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3A20F1"/>
    <w:multiLevelType w:val="hybridMultilevel"/>
    <w:tmpl w:val="ED7060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34F44"/>
    <w:multiLevelType w:val="hybridMultilevel"/>
    <w:tmpl w:val="A6104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972FD"/>
    <w:multiLevelType w:val="hybridMultilevel"/>
    <w:tmpl w:val="2CC290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15AFA"/>
    <w:multiLevelType w:val="hybridMultilevel"/>
    <w:tmpl w:val="A6E0518A"/>
    <w:lvl w:ilvl="0" w:tplc="EE64333E">
      <w:start w:val="1"/>
      <w:numFmt w:val="bullet"/>
      <w:lvlText w:val="•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6E732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9EA08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C20C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E10A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54046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8E5F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6533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0C7B1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584C71"/>
    <w:multiLevelType w:val="hybridMultilevel"/>
    <w:tmpl w:val="95F690E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95129"/>
    <w:multiLevelType w:val="hybridMultilevel"/>
    <w:tmpl w:val="9C76D0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72DBA"/>
    <w:multiLevelType w:val="hybridMultilevel"/>
    <w:tmpl w:val="CB6A1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F4C19"/>
    <w:multiLevelType w:val="hybridMultilevel"/>
    <w:tmpl w:val="1AC42A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84800">
    <w:abstractNumId w:val="0"/>
  </w:num>
  <w:num w:numId="2" w16cid:durableId="59448900">
    <w:abstractNumId w:val="4"/>
  </w:num>
  <w:num w:numId="3" w16cid:durableId="1256784180">
    <w:abstractNumId w:val="6"/>
  </w:num>
  <w:num w:numId="4" w16cid:durableId="152449159">
    <w:abstractNumId w:val="5"/>
  </w:num>
  <w:num w:numId="5" w16cid:durableId="1675919284">
    <w:abstractNumId w:val="7"/>
  </w:num>
  <w:num w:numId="6" w16cid:durableId="581178230">
    <w:abstractNumId w:val="2"/>
  </w:num>
  <w:num w:numId="7" w16cid:durableId="1721974456">
    <w:abstractNumId w:val="3"/>
  </w:num>
  <w:num w:numId="8" w16cid:durableId="1436516078">
    <w:abstractNumId w:val="1"/>
  </w:num>
  <w:num w:numId="9" w16cid:durableId="423649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DC"/>
    <w:rsid w:val="000119F2"/>
    <w:rsid w:val="00081F25"/>
    <w:rsid w:val="000E3BAB"/>
    <w:rsid w:val="001249BA"/>
    <w:rsid w:val="00165597"/>
    <w:rsid w:val="001B3922"/>
    <w:rsid w:val="002160FA"/>
    <w:rsid w:val="00294C71"/>
    <w:rsid w:val="002D2EEA"/>
    <w:rsid w:val="002E343B"/>
    <w:rsid w:val="00330DCC"/>
    <w:rsid w:val="003B1DE5"/>
    <w:rsid w:val="003E4339"/>
    <w:rsid w:val="00440DD5"/>
    <w:rsid w:val="004568CC"/>
    <w:rsid w:val="004A1599"/>
    <w:rsid w:val="004F52C8"/>
    <w:rsid w:val="00504912"/>
    <w:rsid w:val="00590D75"/>
    <w:rsid w:val="0062420F"/>
    <w:rsid w:val="00666828"/>
    <w:rsid w:val="00711BBE"/>
    <w:rsid w:val="00733630"/>
    <w:rsid w:val="0079426B"/>
    <w:rsid w:val="00794BD0"/>
    <w:rsid w:val="007B7E11"/>
    <w:rsid w:val="007D5C8E"/>
    <w:rsid w:val="00896A1E"/>
    <w:rsid w:val="008E4EB0"/>
    <w:rsid w:val="008E7631"/>
    <w:rsid w:val="008F749A"/>
    <w:rsid w:val="009D7150"/>
    <w:rsid w:val="00B05F43"/>
    <w:rsid w:val="00B31546"/>
    <w:rsid w:val="00B47654"/>
    <w:rsid w:val="00B8201A"/>
    <w:rsid w:val="00B92F47"/>
    <w:rsid w:val="00BA7CDC"/>
    <w:rsid w:val="00C52DEA"/>
    <w:rsid w:val="00C86BEC"/>
    <w:rsid w:val="00CB1047"/>
    <w:rsid w:val="00CD3856"/>
    <w:rsid w:val="00CF603E"/>
    <w:rsid w:val="00D019A5"/>
    <w:rsid w:val="00D21151"/>
    <w:rsid w:val="00E15C93"/>
    <w:rsid w:val="00E46EEC"/>
    <w:rsid w:val="00F27195"/>
    <w:rsid w:val="00F563A5"/>
    <w:rsid w:val="00FA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4ECA"/>
  <w15:chartTrackingRefBased/>
  <w15:docId w15:val="{9A98E024-B5CD-4B1F-8AAD-36D0155A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A7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A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A7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A7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A7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A7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A7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A7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A7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A7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A7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A7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A7CD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A7CD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A7C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A7C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A7C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A7C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A7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A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A7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A7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A7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A7C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A7C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A7CD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A7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A7CD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A7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Karakuş</dc:creator>
  <cp:keywords/>
  <dc:description/>
  <cp:lastModifiedBy>Bahadır Karakuş</cp:lastModifiedBy>
  <cp:revision>8</cp:revision>
  <dcterms:created xsi:type="dcterms:W3CDTF">2025-05-08T10:19:00Z</dcterms:created>
  <dcterms:modified xsi:type="dcterms:W3CDTF">2025-05-08T11:49:00Z</dcterms:modified>
</cp:coreProperties>
</file>